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2C62" w14:textId="77777777" w:rsidR="00984C49" w:rsidRDefault="00984C49">
      <w:pPr>
        <w:spacing w:after="160" w:line="259" w:lineRule="exact"/>
        <w:rPr>
          <w:rFonts w:ascii="Verdana" w:hAnsi="Verdana" w:cs="Verdana"/>
          <w:sz w:val="24"/>
          <w:szCs w:val="24"/>
        </w:rPr>
      </w:pPr>
    </w:p>
    <w:tbl>
      <w:tblPr>
        <w:tblW w:w="0" w:type="auto"/>
        <w:tblInd w:w="577" w:type="dxa"/>
        <w:tblLayout w:type="fixed"/>
        <w:tblCellMar>
          <w:left w:w="113" w:type="dxa"/>
        </w:tblCellMar>
        <w:tblLook w:val="0000" w:firstRow="0" w:lastRow="0" w:firstColumn="0" w:lastColumn="0" w:noHBand="0" w:noVBand="0"/>
      </w:tblPr>
      <w:tblGrid>
        <w:gridCol w:w="4247"/>
        <w:gridCol w:w="4257"/>
      </w:tblGrid>
      <w:tr w:rsidR="00984C49" w:rsidRPr="00C82993" w14:paraId="27CF7564" w14:textId="77777777" w:rsidTr="006D5853">
        <w:tc>
          <w:tcPr>
            <w:tcW w:w="4247" w:type="dxa"/>
            <w:tcBorders>
              <w:top w:val="single" w:sz="4" w:space="0" w:color="000000"/>
              <w:left w:val="single" w:sz="4" w:space="0" w:color="000000"/>
              <w:bottom w:val="single" w:sz="4" w:space="0" w:color="000000"/>
            </w:tcBorders>
            <w:shd w:val="clear" w:color="auto" w:fill="auto"/>
          </w:tcPr>
          <w:p w14:paraId="3E1D74CF" w14:textId="77777777" w:rsidR="00984C49" w:rsidRPr="00C82993" w:rsidRDefault="00984C49" w:rsidP="00C82993">
            <w:pPr>
              <w:snapToGrid w:val="0"/>
              <w:rPr>
                <w:rFonts w:ascii="Verdana" w:hAnsi="Verdana" w:cs="Verdana"/>
                <w:sz w:val="22"/>
                <w:szCs w:val="22"/>
              </w:rPr>
            </w:pPr>
          </w:p>
          <w:p w14:paraId="0B16EE70" w14:textId="77777777" w:rsidR="00984C49" w:rsidRPr="00C82993" w:rsidRDefault="00984C49" w:rsidP="00C82993">
            <w:pPr>
              <w:rPr>
                <w:rFonts w:ascii="Verdana" w:hAnsi="Verdana"/>
                <w:sz w:val="22"/>
                <w:szCs w:val="22"/>
              </w:rPr>
            </w:pPr>
            <w:r w:rsidRPr="00C82993">
              <w:rPr>
                <w:rFonts w:ascii="Verdana" w:hAnsi="Verdana" w:cs="Verdana"/>
                <w:b/>
                <w:bCs/>
                <w:sz w:val="22"/>
                <w:szCs w:val="22"/>
              </w:rPr>
              <w:t>PLAN DE CHOQUE ADMINISTRACIÓN DE JUSTICIA</w:t>
            </w:r>
          </w:p>
          <w:p w14:paraId="09C5EBDF" w14:textId="77777777" w:rsidR="00984C49" w:rsidRPr="00C82993" w:rsidRDefault="00984C49" w:rsidP="00C82993">
            <w:pPr>
              <w:rPr>
                <w:rFonts w:ascii="Verdana" w:hAnsi="Verdana" w:cs="Verdana"/>
                <w:sz w:val="22"/>
                <w:szCs w:val="22"/>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14:paraId="08F691CC" w14:textId="77777777" w:rsidR="00984C49" w:rsidRPr="00C82993" w:rsidRDefault="00984C49">
            <w:pPr>
              <w:snapToGrid w:val="0"/>
              <w:rPr>
                <w:rFonts w:ascii="Verdana" w:hAnsi="Verdana" w:cs="Verdana"/>
                <w:sz w:val="22"/>
                <w:szCs w:val="22"/>
              </w:rPr>
            </w:pPr>
          </w:p>
          <w:p w14:paraId="7643F308" w14:textId="77777777" w:rsidR="00984C49" w:rsidRPr="00C82993" w:rsidRDefault="00984C49" w:rsidP="00C82993">
            <w:pPr>
              <w:rPr>
                <w:rFonts w:ascii="Verdana" w:hAnsi="Verdana"/>
                <w:sz w:val="22"/>
                <w:szCs w:val="22"/>
              </w:rPr>
            </w:pPr>
            <w:r w:rsidRPr="00C82993">
              <w:rPr>
                <w:rFonts w:ascii="Verdana" w:hAnsi="Verdana" w:cs="Verdana"/>
                <w:sz w:val="22"/>
                <w:szCs w:val="22"/>
              </w:rPr>
              <w:t xml:space="preserve">MEDIDA Nº: </w:t>
            </w:r>
            <w:r w:rsidR="00834E36">
              <w:rPr>
                <w:rFonts w:ascii="Verdana" w:hAnsi="Verdana" w:cs="Verdana"/>
                <w:b/>
                <w:sz w:val="22"/>
                <w:szCs w:val="22"/>
              </w:rPr>
              <w:t>7</w:t>
            </w:r>
            <w:r w:rsidR="00C82993">
              <w:rPr>
                <w:rFonts w:ascii="Verdana" w:hAnsi="Verdana" w:cs="Verdana"/>
                <w:b/>
                <w:sz w:val="22"/>
                <w:szCs w:val="22"/>
              </w:rPr>
              <w:t xml:space="preserve"> (RDL)</w:t>
            </w:r>
          </w:p>
        </w:tc>
      </w:tr>
      <w:tr w:rsidR="00984C49" w:rsidRPr="00C82993" w14:paraId="5F6DA2C5" w14:textId="77777777" w:rsidTr="006D5853">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14:paraId="5CD73DFD" w14:textId="77777777" w:rsidR="00984C49" w:rsidRPr="00C82993" w:rsidRDefault="00984C49">
            <w:pPr>
              <w:snapToGrid w:val="0"/>
              <w:rPr>
                <w:rFonts w:ascii="Verdana" w:hAnsi="Verdana" w:cs="Verdana"/>
                <w:sz w:val="22"/>
                <w:szCs w:val="22"/>
              </w:rPr>
            </w:pPr>
          </w:p>
          <w:p w14:paraId="487209BF" w14:textId="77777777" w:rsidR="00984C49" w:rsidRPr="00C82993" w:rsidRDefault="00984C49">
            <w:pPr>
              <w:rPr>
                <w:rFonts w:ascii="Verdana" w:hAnsi="Verdana"/>
                <w:sz w:val="22"/>
                <w:szCs w:val="22"/>
              </w:rPr>
            </w:pPr>
            <w:r w:rsidRPr="00C82993">
              <w:rPr>
                <w:rFonts w:ascii="Verdana" w:hAnsi="Verdana" w:cs="Verdana"/>
                <w:sz w:val="22"/>
                <w:szCs w:val="22"/>
              </w:rPr>
              <w:t xml:space="preserve">IDENTIFICACIÓN DE LA MEDIDA: </w:t>
            </w:r>
          </w:p>
          <w:p w14:paraId="59ECC15F" w14:textId="77777777" w:rsidR="00984C49" w:rsidRPr="00C82993" w:rsidRDefault="00984C49">
            <w:pPr>
              <w:rPr>
                <w:rFonts w:ascii="Verdana" w:hAnsi="Verdana" w:cs="Verdana"/>
                <w:sz w:val="22"/>
                <w:szCs w:val="22"/>
              </w:rPr>
            </w:pPr>
          </w:p>
          <w:p w14:paraId="6AC3434F" w14:textId="77777777" w:rsidR="00984C49" w:rsidRPr="00C82993" w:rsidRDefault="00984C49">
            <w:pPr>
              <w:rPr>
                <w:rFonts w:ascii="Verdana" w:hAnsi="Verdana"/>
                <w:sz w:val="22"/>
                <w:szCs w:val="22"/>
              </w:rPr>
            </w:pPr>
            <w:bookmarkStart w:id="0" w:name="__DdeLink__7994_3486997832"/>
            <w:r w:rsidRPr="00C82993">
              <w:rPr>
                <w:rFonts w:ascii="Verdana" w:hAnsi="Verdana" w:cs="Verdana"/>
                <w:sz w:val="22"/>
                <w:szCs w:val="22"/>
              </w:rPr>
              <w:t>P</w:t>
            </w:r>
            <w:r w:rsidRPr="00C82993">
              <w:rPr>
                <w:rFonts w:ascii="Verdana" w:hAnsi="Verdana" w:cs="Verdana"/>
                <w:color w:val="000000"/>
                <w:sz w:val="22"/>
                <w:szCs w:val="22"/>
              </w:rPr>
              <w:t>osibilidad de concluir el concurso sin realizar la vivienda habitual.</w:t>
            </w:r>
          </w:p>
          <w:p w14:paraId="5FFA19D2" w14:textId="77777777" w:rsidR="00984C49" w:rsidRPr="00C82993" w:rsidRDefault="00984C49">
            <w:pPr>
              <w:rPr>
                <w:rFonts w:ascii="Verdana" w:hAnsi="Verdana" w:cs="Verdana"/>
                <w:sz w:val="22"/>
                <w:szCs w:val="22"/>
              </w:rPr>
            </w:pPr>
          </w:p>
          <w:p w14:paraId="18BD6B40" w14:textId="77777777" w:rsidR="00984C49" w:rsidRPr="00C82993" w:rsidRDefault="00984C49">
            <w:pPr>
              <w:rPr>
                <w:rFonts w:ascii="Verdana" w:hAnsi="Verdana"/>
                <w:sz w:val="22"/>
                <w:szCs w:val="22"/>
              </w:rPr>
            </w:pPr>
            <w:r w:rsidRPr="00C82993">
              <w:rPr>
                <w:rFonts w:ascii="Verdana" w:hAnsi="Verdana" w:cs="Verdana"/>
                <w:sz w:val="22"/>
                <w:szCs w:val="22"/>
              </w:rPr>
              <w:t>Añadir un artículo 148 bis a la Ley Concursal.</w:t>
            </w:r>
            <w:bookmarkEnd w:id="0"/>
          </w:p>
          <w:p w14:paraId="35C8478C" w14:textId="77777777" w:rsidR="00984C49" w:rsidRPr="00C82993" w:rsidRDefault="00984C49">
            <w:pPr>
              <w:rPr>
                <w:rFonts w:ascii="Verdana" w:hAnsi="Verdana" w:cs="Verdana"/>
                <w:sz w:val="22"/>
                <w:szCs w:val="22"/>
              </w:rPr>
            </w:pPr>
          </w:p>
        </w:tc>
      </w:tr>
      <w:tr w:rsidR="00984C49" w:rsidRPr="00C82993" w14:paraId="6352A345" w14:textId="77777777" w:rsidTr="006D5853">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14:paraId="0C0A4266" w14:textId="77777777" w:rsidR="00984C49" w:rsidRPr="00C82993" w:rsidRDefault="00984C49">
            <w:pPr>
              <w:snapToGrid w:val="0"/>
              <w:rPr>
                <w:rFonts w:ascii="Verdana" w:hAnsi="Verdana" w:cs="Verdana"/>
                <w:sz w:val="22"/>
                <w:szCs w:val="22"/>
              </w:rPr>
            </w:pPr>
          </w:p>
          <w:p w14:paraId="00A20CF0" w14:textId="77777777" w:rsidR="00984C49" w:rsidRPr="00C82993" w:rsidRDefault="00984C49">
            <w:pPr>
              <w:rPr>
                <w:rFonts w:ascii="Verdana" w:hAnsi="Verdana"/>
                <w:sz w:val="22"/>
                <w:szCs w:val="22"/>
              </w:rPr>
            </w:pPr>
            <w:r w:rsidRPr="00C82993">
              <w:rPr>
                <w:rFonts w:ascii="Verdana" w:hAnsi="Verdana" w:cs="Verdana"/>
                <w:sz w:val="22"/>
                <w:szCs w:val="22"/>
              </w:rPr>
              <w:t xml:space="preserve">TIPO DE MEDIDA: </w:t>
            </w:r>
          </w:p>
          <w:p w14:paraId="63D70A68" w14:textId="77777777" w:rsidR="00984C49" w:rsidRPr="00C82993" w:rsidRDefault="00984C49">
            <w:pPr>
              <w:rPr>
                <w:rFonts w:ascii="Verdana" w:hAnsi="Verdana" w:cs="Verdana"/>
                <w:sz w:val="22"/>
                <w:szCs w:val="22"/>
              </w:rPr>
            </w:pPr>
          </w:p>
          <w:p w14:paraId="4BB732F7" w14:textId="77777777" w:rsidR="00984C49" w:rsidRPr="00C82993" w:rsidRDefault="00984C49">
            <w:pPr>
              <w:rPr>
                <w:rFonts w:ascii="Verdana" w:hAnsi="Verdana"/>
                <w:sz w:val="22"/>
                <w:szCs w:val="22"/>
              </w:rPr>
            </w:pPr>
            <w:r w:rsidRPr="00C82993">
              <w:rPr>
                <w:rFonts w:ascii="Verdana" w:hAnsi="Verdana" w:cs="Verdana"/>
                <w:sz w:val="22"/>
                <w:szCs w:val="22"/>
              </w:rPr>
              <w:t>Concursal. P</w:t>
            </w:r>
            <w:r w:rsidRPr="00C82993">
              <w:rPr>
                <w:rFonts w:ascii="Verdana" w:hAnsi="Verdana" w:cs="Verdana"/>
                <w:color w:val="000000"/>
                <w:sz w:val="22"/>
                <w:szCs w:val="22"/>
              </w:rPr>
              <w:t>osibilidad de concluir el concurso sin realizar la vivienda habitual.</w:t>
            </w:r>
          </w:p>
          <w:p w14:paraId="4E2B0459" w14:textId="77777777" w:rsidR="00984C49" w:rsidRPr="00C82993" w:rsidRDefault="00984C49">
            <w:pPr>
              <w:rPr>
                <w:rFonts w:ascii="Verdana" w:hAnsi="Verdana" w:cs="Verdana"/>
                <w:sz w:val="22"/>
                <w:szCs w:val="22"/>
              </w:rPr>
            </w:pPr>
          </w:p>
        </w:tc>
      </w:tr>
      <w:tr w:rsidR="00984C49" w:rsidRPr="00C82993" w14:paraId="1332AD84" w14:textId="77777777" w:rsidTr="006D5853">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14:paraId="744E7F35" w14:textId="77777777" w:rsidR="00984C49" w:rsidRPr="00C82993" w:rsidRDefault="00984C49">
            <w:pPr>
              <w:snapToGrid w:val="0"/>
              <w:rPr>
                <w:rFonts w:ascii="Verdana" w:hAnsi="Verdana" w:cs="Verdana"/>
                <w:sz w:val="22"/>
                <w:szCs w:val="22"/>
              </w:rPr>
            </w:pPr>
          </w:p>
          <w:p w14:paraId="0272F8BD" w14:textId="77777777" w:rsidR="00984C49" w:rsidRPr="00C82993" w:rsidRDefault="00984C49">
            <w:pPr>
              <w:rPr>
                <w:rFonts w:ascii="Verdana" w:hAnsi="Verdana"/>
                <w:sz w:val="22"/>
                <w:szCs w:val="22"/>
              </w:rPr>
            </w:pPr>
            <w:r w:rsidRPr="00C82993">
              <w:rPr>
                <w:rFonts w:ascii="Verdana" w:hAnsi="Verdana" w:cs="Verdana"/>
                <w:sz w:val="22"/>
                <w:szCs w:val="22"/>
              </w:rPr>
              <w:t xml:space="preserve">OBJETIVO DE LA MEDIDA: </w:t>
            </w:r>
          </w:p>
          <w:p w14:paraId="0FBD0E1B" w14:textId="77777777" w:rsidR="00984C49" w:rsidRPr="00C82993" w:rsidRDefault="00984C49">
            <w:pPr>
              <w:rPr>
                <w:rFonts w:ascii="Verdana" w:hAnsi="Verdana" w:cs="Verdana"/>
                <w:color w:val="000000"/>
                <w:sz w:val="22"/>
                <w:szCs w:val="22"/>
              </w:rPr>
            </w:pPr>
          </w:p>
          <w:p w14:paraId="62D2D210" w14:textId="77777777" w:rsidR="00984C49" w:rsidRPr="00C82993" w:rsidRDefault="00984C49">
            <w:pPr>
              <w:rPr>
                <w:rFonts w:ascii="Verdana" w:hAnsi="Verdana"/>
                <w:sz w:val="22"/>
                <w:szCs w:val="22"/>
              </w:rPr>
            </w:pPr>
            <w:r w:rsidRPr="00C82993">
              <w:rPr>
                <w:rFonts w:ascii="Verdana" w:hAnsi="Verdana" w:cs="Verdana"/>
                <w:color w:val="000000"/>
                <w:sz w:val="22"/>
                <w:szCs w:val="22"/>
              </w:rPr>
              <w:t>Evitar que sea necesario despojar al deudor de su vivienda habitual cuando la realización del bien solo servirá para pagar parcialmente al acreedor privilegiado.</w:t>
            </w:r>
          </w:p>
          <w:p w14:paraId="4CD19FC1" w14:textId="77777777" w:rsidR="00984C49" w:rsidRPr="00C82993" w:rsidRDefault="00984C49">
            <w:pPr>
              <w:rPr>
                <w:rFonts w:ascii="Verdana" w:hAnsi="Verdana" w:cs="Verdana"/>
                <w:color w:val="000000"/>
                <w:sz w:val="22"/>
                <w:szCs w:val="22"/>
              </w:rPr>
            </w:pPr>
          </w:p>
          <w:p w14:paraId="20EA9731" w14:textId="77777777" w:rsidR="00984C49" w:rsidRPr="00C82993" w:rsidRDefault="00984C49">
            <w:pPr>
              <w:jc w:val="both"/>
              <w:rPr>
                <w:rFonts w:ascii="Verdana" w:hAnsi="Verdana"/>
                <w:sz w:val="22"/>
                <w:szCs w:val="22"/>
              </w:rPr>
            </w:pPr>
            <w:r w:rsidRPr="00C82993">
              <w:rPr>
                <w:rFonts w:ascii="Verdana" w:hAnsi="Verdana"/>
                <w:sz w:val="22"/>
                <w:szCs w:val="22"/>
              </w:rPr>
              <w:t xml:space="preserve">Esta medida trata de proteger a los colectivos especialmente vulnerables al impacto de la crisis sanitaria derivada del COVID-19, ya que serán muchas las familias que, como consecuencia de la situación actual, perderán sus trabajos o no puedan asumir los gastos del mantenimiento de sus pequeños negocios. </w:t>
            </w:r>
          </w:p>
          <w:p w14:paraId="62B6F1BD" w14:textId="77777777" w:rsidR="00984C49" w:rsidRPr="00C82993" w:rsidRDefault="00984C49">
            <w:pPr>
              <w:jc w:val="both"/>
              <w:rPr>
                <w:rFonts w:ascii="Verdana" w:hAnsi="Verdana"/>
                <w:sz w:val="22"/>
                <w:szCs w:val="22"/>
              </w:rPr>
            </w:pPr>
          </w:p>
          <w:p w14:paraId="1F64CFAE" w14:textId="77777777" w:rsidR="00984C49" w:rsidRPr="00C82993" w:rsidRDefault="00984C49">
            <w:pPr>
              <w:jc w:val="both"/>
              <w:rPr>
                <w:rFonts w:ascii="Verdana" w:hAnsi="Verdana"/>
                <w:sz w:val="22"/>
                <w:szCs w:val="22"/>
              </w:rPr>
            </w:pPr>
            <w:r w:rsidRPr="00C82993">
              <w:rPr>
                <w:rFonts w:ascii="Verdana" w:hAnsi="Verdana"/>
                <w:sz w:val="22"/>
                <w:szCs w:val="22"/>
              </w:rPr>
              <w:t>De este modo, muchas personas se verán abocadas al concurso, lo que, de acuerdo con la regulación actual, comportará (en la inmensa mayoría de los casos, en los que no se alcanza un acuerdo con los acreedores) que pierdan su vivienda habitual.</w:t>
            </w:r>
          </w:p>
          <w:p w14:paraId="79800EE3" w14:textId="77777777" w:rsidR="00984C49" w:rsidRPr="00C82993" w:rsidRDefault="00984C49">
            <w:pPr>
              <w:rPr>
                <w:rFonts w:ascii="Verdana" w:hAnsi="Verdana"/>
                <w:sz w:val="22"/>
                <w:szCs w:val="22"/>
              </w:rPr>
            </w:pPr>
          </w:p>
          <w:p w14:paraId="40C82203" w14:textId="77777777" w:rsidR="00984C49" w:rsidRPr="00C82993" w:rsidRDefault="00984C49">
            <w:pPr>
              <w:jc w:val="both"/>
              <w:rPr>
                <w:rFonts w:ascii="Verdana" w:hAnsi="Verdana"/>
                <w:sz w:val="22"/>
                <w:szCs w:val="22"/>
              </w:rPr>
            </w:pPr>
            <w:r w:rsidRPr="00C82993">
              <w:rPr>
                <w:rFonts w:ascii="Verdana" w:hAnsi="Verdana"/>
                <w:sz w:val="22"/>
                <w:szCs w:val="22"/>
              </w:rPr>
              <w:t>La regulación actual no permite concluir el concurso ni, por tanto, acceder al beneficio de la exoneración del pasivo insatisfecho (BEPI), sin haber realizado todos los bienes y derechos del deudor (incluida, por tanto, su vivienda habitual), por lo que, de no adoptarse esta medida, muchas familias se verán desahuciadas. Circunstancia que, además de afectar a las mismas gravemente, puede resultar incompatible con las necesarias medidas de confinamiento y distanciamiento social acordadas por el Gobierno.</w:t>
            </w:r>
          </w:p>
          <w:p w14:paraId="58CD9731" w14:textId="77777777" w:rsidR="00984C49" w:rsidRPr="00C82993" w:rsidRDefault="00984C49">
            <w:pPr>
              <w:jc w:val="both"/>
              <w:rPr>
                <w:rFonts w:ascii="Verdana" w:hAnsi="Verdana"/>
                <w:sz w:val="22"/>
                <w:szCs w:val="22"/>
              </w:rPr>
            </w:pPr>
          </w:p>
          <w:p w14:paraId="622E254A" w14:textId="77777777" w:rsidR="00984C49" w:rsidRPr="00C82993" w:rsidRDefault="00984C49">
            <w:pPr>
              <w:jc w:val="both"/>
              <w:rPr>
                <w:rFonts w:ascii="Verdana" w:hAnsi="Verdana"/>
                <w:sz w:val="22"/>
                <w:szCs w:val="22"/>
              </w:rPr>
            </w:pPr>
            <w:r w:rsidRPr="00C82993">
              <w:rPr>
                <w:rFonts w:ascii="Verdana" w:hAnsi="Verdana" w:cs="Verdana"/>
                <w:color w:val="000000"/>
                <w:sz w:val="22"/>
                <w:szCs w:val="22"/>
              </w:rPr>
              <w:t>Por otra parte, se salvaguardan los derechos de los acreedores a través del establecimiento de los requisitos que contiene el precepto, ya que se tratará de supuestos en los que importe obtenido por la vivienda nunca hubiera servido para pagar a los acreedores ordinarios y en los que la entidad bancaria se encuentra conforme o no se le causa perjuicio alguno al estar el préstamo al corriente de pago.</w:t>
            </w:r>
          </w:p>
          <w:p w14:paraId="1F5976B4" w14:textId="77777777" w:rsidR="00984C49" w:rsidRDefault="00984C49">
            <w:pPr>
              <w:rPr>
                <w:rFonts w:ascii="Verdana" w:hAnsi="Verdana" w:cs="Verdana"/>
                <w:sz w:val="22"/>
                <w:szCs w:val="22"/>
              </w:rPr>
            </w:pPr>
          </w:p>
          <w:p w14:paraId="462BA3AB" w14:textId="77777777" w:rsidR="00C82993" w:rsidRPr="00C82993" w:rsidRDefault="00C82993">
            <w:pPr>
              <w:rPr>
                <w:rFonts w:ascii="Verdana" w:hAnsi="Verdana" w:cs="Verdana"/>
                <w:sz w:val="22"/>
                <w:szCs w:val="22"/>
              </w:rPr>
            </w:pPr>
          </w:p>
        </w:tc>
      </w:tr>
      <w:tr w:rsidR="00984C49" w:rsidRPr="00C82993" w14:paraId="75E3891F" w14:textId="77777777" w:rsidTr="006D5853">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14:paraId="1A3764FE" w14:textId="77777777" w:rsidR="00984C49" w:rsidRPr="00C82993" w:rsidRDefault="00984C49">
            <w:pPr>
              <w:snapToGrid w:val="0"/>
              <w:rPr>
                <w:rFonts w:ascii="Verdana" w:hAnsi="Verdana" w:cs="Verdana"/>
                <w:sz w:val="22"/>
                <w:szCs w:val="22"/>
              </w:rPr>
            </w:pPr>
          </w:p>
          <w:p w14:paraId="5A2A150D" w14:textId="77777777" w:rsidR="00984C49" w:rsidRPr="00C82993" w:rsidRDefault="00984C49">
            <w:pPr>
              <w:rPr>
                <w:rFonts w:ascii="Verdana" w:hAnsi="Verdana"/>
                <w:sz w:val="22"/>
                <w:szCs w:val="22"/>
              </w:rPr>
            </w:pPr>
            <w:r w:rsidRPr="00C82993">
              <w:rPr>
                <w:rFonts w:ascii="Verdana" w:hAnsi="Verdana" w:cs="Verdana"/>
                <w:sz w:val="22"/>
                <w:szCs w:val="22"/>
              </w:rPr>
              <w:t xml:space="preserve">COLECTIVOS PROFESIONALES AFECTADOS: </w:t>
            </w:r>
          </w:p>
          <w:p w14:paraId="1B767715" w14:textId="77777777" w:rsidR="00984C49" w:rsidRPr="00C82993" w:rsidRDefault="00984C49">
            <w:pPr>
              <w:rPr>
                <w:rFonts w:ascii="Verdana" w:hAnsi="Verdana" w:cs="Verdana"/>
                <w:sz w:val="22"/>
                <w:szCs w:val="22"/>
              </w:rPr>
            </w:pPr>
          </w:p>
          <w:p w14:paraId="2AC30E90" w14:textId="77777777" w:rsidR="00984C49" w:rsidRPr="00C82993" w:rsidRDefault="00984C49">
            <w:pPr>
              <w:pStyle w:val="ListParagraph"/>
              <w:numPr>
                <w:ilvl w:val="0"/>
                <w:numId w:val="1"/>
              </w:numPr>
              <w:spacing w:after="0" w:line="240" w:lineRule="auto"/>
              <w:rPr>
                <w:rFonts w:ascii="Verdana" w:hAnsi="Verdana"/>
                <w:sz w:val="22"/>
                <w:szCs w:val="22"/>
              </w:rPr>
            </w:pPr>
            <w:r w:rsidRPr="00C82993">
              <w:rPr>
                <w:rFonts w:ascii="Verdana" w:hAnsi="Verdana" w:cs="Verdana"/>
                <w:sz w:val="22"/>
                <w:szCs w:val="22"/>
              </w:rPr>
              <w:t>Consejo General del Poder judicial</w:t>
            </w:r>
          </w:p>
          <w:p w14:paraId="18126B0E" w14:textId="77777777" w:rsidR="00984C49" w:rsidRPr="00C82993" w:rsidRDefault="00984C49">
            <w:pPr>
              <w:pStyle w:val="ListParagraph"/>
              <w:numPr>
                <w:ilvl w:val="0"/>
                <w:numId w:val="1"/>
              </w:numPr>
              <w:spacing w:after="0" w:line="240" w:lineRule="auto"/>
              <w:rPr>
                <w:rFonts w:ascii="Verdana" w:hAnsi="Verdana"/>
                <w:sz w:val="22"/>
                <w:szCs w:val="22"/>
              </w:rPr>
            </w:pPr>
            <w:r w:rsidRPr="00C82993">
              <w:rPr>
                <w:rFonts w:ascii="Verdana" w:hAnsi="Verdana" w:cs="Verdana"/>
                <w:sz w:val="22"/>
                <w:szCs w:val="22"/>
              </w:rPr>
              <w:t xml:space="preserve">Administradores concursales. </w:t>
            </w:r>
          </w:p>
          <w:p w14:paraId="15A1A92B" w14:textId="77777777" w:rsidR="00984C49" w:rsidRPr="00C82993" w:rsidRDefault="00984C49">
            <w:pPr>
              <w:rPr>
                <w:rFonts w:ascii="Verdana" w:hAnsi="Verdana" w:cs="Verdana"/>
                <w:sz w:val="22"/>
                <w:szCs w:val="22"/>
              </w:rPr>
            </w:pPr>
          </w:p>
        </w:tc>
      </w:tr>
      <w:tr w:rsidR="00984C49" w:rsidRPr="00C82993" w14:paraId="00CFEA0D" w14:textId="77777777" w:rsidTr="006D5853">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14:paraId="35105470" w14:textId="77777777" w:rsidR="00984C49" w:rsidRPr="00C82993" w:rsidRDefault="00984C49">
            <w:pPr>
              <w:snapToGrid w:val="0"/>
              <w:rPr>
                <w:rFonts w:ascii="Verdana" w:hAnsi="Verdana" w:cs="Verdana"/>
                <w:sz w:val="22"/>
                <w:szCs w:val="22"/>
              </w:rPr>
            </w:pPr>
          </w:p>
          <w:p w14:paraId="4E840F00" w14:textId="77777777" w:rsidR="00984C49" w:rsidRPr="00C82993" w:rsidRDefault="00984C49">
            <w:pPr>
              <w:rPr>
                <w:rFonts w:ascii="Verdana" w:hAnsi="Verdana"/>
                <w:sz w:val="22"/>
                <w:szCs w:val="22"/>
              </w:rPr>
            </w:pPr>
            <w:r w:rsidRPr="00C82993">
              <w:rPr>
                <w:rFonts w:ascii="Verdana" w:hAnsi="Verdana" w:cs="Verdana"/>
                <w:sz w:val="22"/>
                <w:szCs w:val="22"/>
              </w:rPr>
              <w:t xml:space="preserve">ADMINISTRACIONES/COLECTIVOS QUE DEBEN PARTICIPAR EN LA EJECUCIÓN: </w:t>
            </w:r>
          </w:p>
          <w:p w14:paraId="3B404353" w14:textId="77777777" w:rsidR="00984C49" w:rsidRPr="00C82993" w:rsidRDefault="00984C49">
            <w:pPr>
              <w:rPr>
                <w:rFonts w:ascii="Verdana" w:hAnsi="Verdana" w:cs="Verdana"/>
                <w:sz w:val="22"/>
                <w:szCs w:val="22"/>
              </w:rPr>
            </w:pPr>
          </w:p>
          <w:p w14:paraId="2B639634" w14:textId="77777777" w:rsidR="00984C49" w:rsidRPr="00C82993" w:rsidRDefault="00984C49">
            <w:pPr>
              <w:jc w:val="both"/>
              <w:rPr>
                <w:rFonts w:ascii="Verdana" w:hAnsi="Verdana"/>
                <w:sz w:val="22"/>
                <w:szCs w:val="22"/>
              </w:rPr>
            </w:pPr>
            <w:r w:rsidRPr="00C82993">
              <w:rPr>
                <w:rFonts w:ascii="Verdana" w:hAnsi="Verdana" w:cs="Verdana"/>
                <w:iCs/>
                <w:sz w:val="22"/>
                <w:szCs w:val="22"/>
              </w:rPr>
              <w:t>Ministerio de Justicia para el impulso de un proyecto de Ley y las Cortes Generales para la aprobación de una Ley a tramitar por el procedimiento de urgencia, sin perjuicio de la facultad del Gobierno para valorar la concurrencia de circunstancias de extraordinaria y urgente necesidad que, en su caso, permitan la aprobación de un Real Decreto-Ley.</w:t>
            </w:r>
          </w:p>
          <w:p w14:paraId="26861492" w14:textId="77777777" w:rsidR="00984C49" w:rsidRPr="00C82993" w:rsidRDefault="00984C49">
            <w:pPr>
              <w:rPr>
                <w:rFonts w:ascii="Verdana" w:hAnsi="Verdana" w:cs="Verdana"/>
                <w:sz w:val="22"/>
                <w:szCs w:val="22"/>
              </w:rPr>
            </w:pPr>
          </w:p>
        </w:tc>
      </w:tr>
      <w:tr w:rsidR="00984C49" w:rsidRPr="00C82993" w14:paraId="1138C8AD" w14:textId="77777777" w:rsidTr="006D5853">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14:paraId="4352B35D" w14:textId="77777777" w:rsidR="00984C49" w:rsidRPr="00C82993" w:rsidRDefault="00984C49">
            <w:pPr>
              <w:snapToGrid w:val="0"/>
              <w:rPr>
                <w:rFonts w:ascii="Verdana" w:hAnsi="Verdana" w:cs="Verdana"/>
                <w:sz w:val="22"/>
                <w:szCs w:val="22"/>
              </w:rPr>
            </w:pPr>
          </w:p>
          <w:p w14:paraId="56B7CAEE" w14:textId="77777777" w:rsidR="00984C49" w:rsidRPr="00C82993" w:rsidRDefault="00984C49">
            <w:pPr>
              <w:rPr>
                <w:rFonts w:ascii="Verdana" w:hAnsi="Verdana"/>
                <w:sz w:val="22"/>
                <w:szCs w:val="22"/>
              </w:rPr>
            </w:pPr>
            <w:r w:rsidRPr="00C82993">
              <w:rPr>
                <w:rFonts w:ascii="Verdana" w:hAnsi="Verdana" w:cs="Verdana"/>
                <w:sz w:val="22"/>
                <w:szCs w:val="22"/>
              </w:rPr>
              <w:t xml:space="preserve">MEDIDAS NECESARIAS PARA LA EJECUCIÓN: </w:t>
            </w:r>
          </w:p>
          <w:p w14:paraId="63F0F116" w14:textId="77777777" w:rsidR="00984C49" w:rsidRPr="00C82993" w:rsidRDefault="00984C49">
            <w:pPr>
              <w:rPr>
                <w:rFonts w:ascii="Verdana" w:hAnsi="Verdana" w:cs="Verdana"/>
                <w:sz w:val="22"/>
                <w:szCs w:val="22"/>
              </w:rPr>
            </w:pPr>
          </w:p>
          <w:p w14:paraId="2D5DD706" w14:textId="77777777" w:rsidR="00984C49" w:rsidRPr="00C82993" w:rsidRDefault="00984C49">
            <w:pPr>
              <w:rPr>
                <w:rFonts w:ascii="Verdana" w:hAnsi="Verdana"/>
                <w:sz w:val="22"/>
                <w:szCs w:val="22"/>
              </w:rPr>
            </w:pPr>
            <w:r w:rsidRPr="00C82993">
              <w:rPr>
                <w:rFonts w:ascii="Verdana" w:hAnsi="Verdana" w:cs="Verdana"/>
                <w:b/>
                <w:sz w:val="22"/>
                <w:szCs w:val="22"/>
              </w:rPr>
              <w:t xml:space="preserve">Reforma legislativa de la Ley Concursal para añadir el artículo 148 bis. </w:t>
            </w:r>
          </w:p>
          <w:p w14:paraId="040EC897" w14:textId="77777777" w:rsidR="00984C49" w:rsidRPr="00C82993" w:rsidRDefault="00984C49">
            <w:pPr>
              <w:rPr>
                <w:rFonts w:ascii="Verdana" w:hAnsi="Verdana" w:cs="Verdana"/>
                <w:iCs/>
                <w:color w:val="FF0000"/>
                <w:sz w:val="22"/>
                <w:szCs w:val="22"/>
              </w:rPr>
            </w:pPr>
          </w:p>
          <w:p w14:paraId="4632004D" w14:textId="77777777" w:rsidR="00984C49" w:rsidRPr="00C82993" w:rsidRDefault="00984C49">
            <w:pPr>
              <w:jc w:val="both"/>
              <w:rPr>
                <w:rFonts w:ascii="Verdana" w:hAnsi="Verdana"/>
                <w:sz w:val="22"/>
                <w:szCs w:val="22"/>
              </w:rPr>
            </w:pPr>
            <w:r w:rsidRPr="00C82993">
              <w:rPr>
                <w:rFonts w:ascii="Verdana" w:hAnsi="Verdana" w:cs="Verdana"/>
                <w:b/>
                <w:bCs/>
                <w:color w:val="000000"/>
                <w:sz w:val="22"/>
                <w:szCs w:val="22"/>
              </w:rPr>
              <w:t>1. Justificación</w:t>
            </w:r>
            <w:r w:rsidRPr="00C82993">
              <w:rPr>
                <w:rFonts w:ascii="Verdana" w:hAnsi="Verdana" w:cs="Verdana"/>
                <w:color w:val="000000"/>
                <w:sz w:val="22"/>
                <w:szCs w:val="22"/>
              </w:rPr>
              <w:t>.</w:t>
            </w:r>
          </w:p>
          <w:p w14:paraId="074273B3" w14:textId="77777777" w:rsidR="00984C49" w:rsidRPr="00C82993" w:rsidRDefault="00984C49">
            <w:pPr>
              <w:jc w:val="both"/>
              <w:rPr>
                <w:rFonts w:ascii="Verdana" w:hAnsi="Verdana" w:cs="Verdana"/>
                <w:color w:val="000000"/>
                <w:sz w:val="22"/>
                <w:szCs w:val="22"/>
              </w:rPr>
            </w:pPr>
          </w:p>
          <w:p w14:paraId="1B5D58D2" w14:textId="77777777" w:rsidR="00984C49" w:rsidRPr="00C82993" w:rsidRDefault="00984C49">
            <w:pPr>
              <w:jc w:val="both"/>
              <w:rPr>
                <w:rFonts w:ascii="Verdana" w:hAnsi="Verdana"/>
                <w:sz w:val="22"/>
                <w:szCs w:val="22"/>
              </w:rPr>
            </w:pPr>
            <w:r w:rsidRPr="00C82993">
              <w:rPr>
                <w:rFonts w:ascii="Verdana" w:hAnsi="Verdana" w:cs="Verdana"/>
                <w:color w:val="000000"/>
                <w:sz w:val="22"/>
                <w:szCs w:val="22"/>
              </w:rPr>
              <w:tab/>
              <w:t>La finalidad de esta propuesta es evitar despojar al deudor de su vivienda habitual cuando la realización del bien solo servirá para pagar parcialmente al acreedor privilegiado.</w:t>
            </w:r>
          </w:p>
          <w:p w14:paraId="67252C01" w14:textId="77777777" w:rsidR="00984C49" w:rsidRPr="00C82993" w:rsidRDefault="00984C49">
            <w:pPr>
              <w:jc w:val="both"/>
              <w:rPr>
                <w:rFonts w:ascii="Verdana" w:hAnsi="Verdana" w:cs="Verdana"/>
                <w:color w:val="000000"/>
                <w:sz w:val="22"/>
                <w:szCs w:val="22"/>
              </w:rPr>
            </w:pPr>
          </w:p>
          <w:p w14:paraId="181619A7" w14:textId="77777777" w:rsidR="00984C49" w:rsidRPr="00C82993" w:rsidRDefault="00984C49">
            <w:pPr>
              <w:jc w:val="both"/>
              <w:rPr>
                <w:rFonts w:ascii="Verdana" w:hAnsi="Verdana"/>
                <w:sz w:val="22"/>
                <w:szCs w:val="22"/>
              </w:rPr>
            </w:pPr>
            <w:r w:rsidRPr="00C82993">
              <w:rPr>
                <w:rFonts w:ascii="Verdana" w:hAnsi="Verdana" w:cs="Verdana"/>
                <w:color w:val="000000"/>
                <w:sz w:val="22"/>
                <w:szCs w:val="22"/>
              </w:rPr>
              <w:tab/>
              <w:t xml:space="preserve">Para que ello se produzca sería preciso que el bien se encuentre hipotecado, que el valor de realización </w:t>
            </w:r>
            <w:proofErr w:type="gramStart"/>
            <w:r w:rsidRPr="00C82993">
              <w:rPr>
                <w:rFonts w:ascii="Verdana" w:hAnsi="Verdana" w:cs="Verdana"/>
                <w:color w:val="000000"/>
                <w:sz w:val="22"/>
                <w:szCs w:val="22"/>
              </w:rPr>
              <w:t>del mismo</w:t>
            </w:r>
            <w:proofErr w:type="gramEnd"/>
            <w:r w:rsidRPr="00C82993">
              <w:rPr>
                <w:rFonts w:ascii="Verdana" w:hAnsi="Verdana" w:cs="Verdana"/>
                <w:color w:val="000000"/>
                <w:sz w:val="22"/>
                <w:szCs w:val="22"/>
              </w:rPr>
              <w:t xml:space="preserve"> no alcance a cubrir la deuda garantizada y que, o bien el crédito hipotecario se encuentre al corriente de pago o bien el acreedor privilegiado consienta en que no se realice el bien.</w:t>
            </w:r>
          </w:p>
          <w:p w14:paraId="22E2D5BD" w14:textId="77777777" w:rsidR="00984C49" w:rsidRPr="00C82993" w:rsidRDefault="00984C49">
            <w:pPr>
              <w:jc w:val="both"/>
              <w:rPr>
                <w:rFonts w:ascii="Verdana" w:hAnsi="Verdana" w:cs="Verdana"/>
                <w:color w:val="000000"/>
                <w:sz w:val="22"/>
                <w:szCs w:val="22"/>
              </w:rPr>
            </w:pPr>
          </w:p>
          <w:p w14:paraId="732E84BB" w14:textId="77777777" w:rsidR="00984C49" w:rsidRPr="00C82993" w:rsidRDefault="00984C49">
            <w:pPr>
              <w:jc w:val="both"/>
              <w:rPr>
                <w:rFonts w:ascii="Verdana" w:hAnsi="Verdana"/>
                <w:sz w:val="22"/>
                <w:szCs w:val="22"/>
              </w:rPr>
            </w:pPr>
            <w:r w:rsidRPr="00C82993">
              <w:rPr>
                <w:rFonts w:ascii="Verdana" w:hAnsi="Verdana" w:cs="Verdana"/>
                <w:color w:val="000000"/>
                <w:sz w:val="22"/>
                <w:szCs w:val="22"/>
              </w:rPr>
              <w:tab/>
              <w:t>No obstante, puede surgir un problema en el caso de que el deudor acceda al BEPI por la vía del ordinal 5º del artículo 178 bis (es decir, cuando sea preciso que se someta a un plan de pagos), ya que en este caso el pago mensual del préstamo hipotecario podría reducir excesivamente el importe que el deudor podría poder pagar mensualmente a sus acreedores. Por ello, habría de añadirse un requisito, de apreciación judicial, tendente a valorar que el importe de la cuota hipotecaria no resulta excesivo en comparación con lo que supondría el alquiler de una vivienda de características adecuadas a las necesidades del deudor y su familia.</w:t>
            </w:r>
          </w:p>
          <w:p w14:paraId="5AA6E84D" w14:textId="77777777" w:rsidR="00984C49" w:rsidRPr="00C82993" w:rsidRDefault="00984C49">
            <w:pPr>
              <w:jc w:val="both"/>
              <w:rPr>
                <w:rFonts w:ascii="Verdana" w:hAnsi="Verdana" w:cs="Verdana"/>
                <w:color w:val="000000"/>
                <w:sz w:val="22"/>
                <w:szCs w:val="22"/>
              </w:rPr>
            </w:pPr>
          </w:p>
          <w:p w14:paraId="502AC13E" w14:textId="77777777" w:rsidR="00984C49" w:rsidRPr="00C82993" w:rsidRDefault="00984C49">
            <w:pPr>
              <w:pStyle w:val="Textoindependiente"/>
              <w:spacing w:after="0" w:line="240" w:lineRule="auto"/>
              <w:jc w:val="both"/>
              <w:rPr>
                <w:rFonts w:ascii="Verdana" w:hAnsi="Verdana"/>
                <w:sz w:val="22"/>
                <w:szCs w:val="22"/>
              </w:rPr>
            </w:pPr>
            <w:r w:rsidRPr="00C82993">
              <w:rPr>
                <w:rStyle w:val="Textoennegrita"/>
                <w:rFonts w:ascii="Verdana" w:hAnsi="Verdana" w:cs="Verdana"/>
                <w:color w:val="000000"/>
                <w:sz w:val="22"/>
                <w:szCs w:val="22"/>
              </w:rPr>
              <w:t>2.- Modificaciones necesarias.</w:t>
            </w:r>
          </w:p>
          <w:p w14:paraId="13443740" w14:textId="77777777" w:rsidR="00984C49" w:rsidRPr="00C82993" w:rsidRDefault="00984C49">
            <w:pPr>
              <w:jc w:val="both"/>
              <w:rPr>
                <w:rFonts w:ascii="Verdana" w:hAnsi="Verdana" w:cs="Verdana"/>
                <w:color w:val="000000"/>
                <w:sz w:val="22"/>
                <w:szCs w:val="22"/>
              </w:rPr>
            </w:pPr>
          </w:p>
          <w:p w14:paraId="3B084FEB" w14:textId="77777777" w:rsidR="00984C49" w:rsidRPr="00C82993" w:rsidRDefault="00984C49">
            <w:pPr>
              <w:jc w:val="both"/>
              <w:rPr>
                <w:rFonts w:ascii="Verdana" w:hAnsi="Verdana"/>
                <w:sz w:val="22"/>
                <w:szCs w:val="22"/>
              </w:rPr>
            </w:pPr>
            <w:r w:rsidRPr="00C82993">
              <w:rPr>
                <w:rFonts w:ascii="Verdana" w:hAnsi="Verdana" w:cs="Verdana"/>
                <w:color w:val="000000"/>
                <w:sz w:val="22"/>
                <w:szCs w:val="22"/>
              </w:rPr>
              <w:tab/>
            </w:r>
            <w:r w:rsidRPr="00C82993">
              <w:rPr>
                <w:rFonts w:ascii="Verdana" w:hAnsi="Verdana" w:cs="Verdana"/>
                <w:color w:val="FF0000"/>
                <w:sz w:val="22"/>
                <w:szCs w:val="22"/>
              </w:rPr>
              <w:t xml:space="preserve">Añadir el siguiente artículo </w:t>
            </w:r>
          </w:p>
          <w:p w14:paraId="48EEB0A7" w14:textId="77777777" w:rsidR="00984C49" w:rsidRPr="00C82993" w:rsidRDefault="00984C49">
            <w:pPr>
              <w:jc w:val="both"/>
              <w:rPr>
                <w:rFonts w:ascii="Verdana" w:hAnsi="Verdana" w:cs="Verdana"/>
                <w:color w:val="FF0000"/>
                <w:sz w:val="22"/>
                <w:szCs w:val="22"/>
              </w:rPr>
            </w:pPr>
          </w:p>
          <w:p w14:paraId="07FBDF0C" w14:textId="77777777" w:rsidR="00984C49" w:rsidRPr="00C82993" w:rsidRDefault="00984C49">
            <w:pPr>
              <w:jc w:val="both"/>
              <w:rPr>
                <w:rFonts w:ascii="Verdana" w:hAnsi="Verdana"/>
                <w:sz w:val="22"/>
                <w:szCs w:val="22"/>
              </w:rPr>
            </w:pPr>
            <w:r w:rsidRPr="00C82993">
              <w:rPr>
                <w:rFonts w:ascii="Verdana" w:hAnsi="Verdana" w:cs="Verdana"/>
                <w:color w:val="FF0000"/>
                <w:sz w:val="22"/>
                <w:szCs w:val="22"/>
              </w:rPr>
              <w:tab/>
              <w:t>“</w:t>
            </w:r>
            <w:r w:rsidRPr="00C82993">
              <w:rPr>
                <w:rFonts w:ascii="Verdana" w:hAnsi="Verdana" w:cs="Verdana"/>
                <w:iCs/>
                <w:color w:val="FF0000"/>
                <w:sz w:val="22"/>
                <w:szCs w:val="22"/>
              </w:rPr>
              <w:t>Artículo 148 bis. Vivienda habitual del concursado.</w:t>
            </w:r>
          </w:p>
          <w:p w14:paraId="64A883CF" w14:textId="77777777" w:rsidR="00984C49" w:rsidRPr="00C82993" w:rsidRDefault="00984C49">
            <w:pPr>
              <w:jc w:val="both"/>
              <w:rPr>
                <w:rFonts w:ascii="Verdana" w:hAnsi="Verdana" w:cs="Verdana"/>
                <w:iCs/>
                <w:color w:val="FF0000"/>
                <w:sz w:val="22"/>
                <w:szCs w:val="22"/>
              </w:rPr>
            </w:pPr>
          </w:p>
          <w:p w14:paraId="2FD57BBC" w14:textId="77777777" w:rsidR="00984C49" w:rsidRPr="00C82993" w:rsidRDefault="00984C49">
            <w:pPr>
              <w:jc w:val="both"/>
              <w:rPr>
                <w:rFonts w:ascii="Verdana" w:hAnsi="Verdana"/>
                <w:sz w:val="22"/>
                <w:szCs w:val="22"/>
              </w:rPr>
            </w:pPr>
            <w:r w:rsidRPr="00C82993">
              <w:rPr>
                <w:rFonts w:ascii="Verdana" w:hAnsi="Verdana" w:cs="Verdana"/>
                <w:iCs/>
                <w:color w:val="FF0000"/>
                <w:sz w:val="22"/>
                <w:szCs w:val="22"/>
              </w:rPr>
              <w:tab/>
              <w:t>1. No será precisa la realización del inmueble que constituya la vivienda habitual del concursado siempre y cuando se cumplan los siguientes requisitos:</w:t>
            </w:r>
          </w:p>
          <w:p w14:paraId="2BF8A57A" w14:textId="77777777" w:rsidR="00984C49" w:rsidRPr="00C82993" w:rsidRDefault="00984C49">
            <w:pPr>
              <w:jc w:val="both"/>
              <w:rPr>
                <w:rFonts w:ascii="Verdana" w:hAnsi="Verdana" w:cs="Verdana"/>
                <w:iCs/>
                <w:color w:val="FF0000"/>
                <w:sz w:val="22"/>
                <w:szCs w:val="22"/>
              </w:rPr>
            </w:pPr>
          </w:p>
          <w:p w14:paraId="7CF10C6A" w14:textId="77777777" w:rsidR="00984C49" w:rsidRPr="00C82993" w:rsidRDefault="00984C49">
            <w:pPr>
              <w:jc w:val="both"/>
              <w:rPr>
                <w:rFonts w:ascii="Verdana" w:hAnsi="Verdana"/>
                <w:sz w:val="22"/>
                <w:szCs w:val="22"/>
              </w:rPr>
            </w:pPr>
            <w:r w:rsidRPr="00C82993">
              <w:rPr>
                <w:rFonts w:ascii="Verdana" w:hAnsi="Verdana" w:cs="Verdana"/>
                <w:iCs/>
                <w:color w:val="FF0000"/>
                <w:sz w:val="22"/>
                <w:szCs w:val="22"/>
              </w:rPr>
              <w:tab/>
              <w:t xml:space="preserve">1º.- Que lo solicite la </w:t>
            </w:r>
            <w:r w:rsidRPr="00C82993">
              <w:rPr>
                <w:rFonts w:ascii="Verdana" w:hAnsi="Verdana" w:cs="Verdana"/>
                <w:iCs/>
                <w:color w:val="FF0000"/>
                <w:spacing w:val="20"/>
                <w:sz w:val="22"/>
                <w:szCs w:val="22"/>
                <w:lang w:eastAsia="zh-CN"/>
              </w:rPr>
              <w:t>administración concursal</w:t>
            </w:r>
            <w:r w:rsidRPr="00C82993">
              <w:rPr>
                <w:rFonts w:ascii="Verdana" w:hAnsi="Verdana" w:cs="Verdana"/>
                <w:iCs/>
                <w:color w:val="FF0000"/>
                <w:sz w:val="22"/>
                <w:szCs w:val="22"/>
              </w:rPr>
              <w:t>, previa petición del concursado.</w:t>
            </w:r>
          </w:p>
          <w:p w14:paraId="46762935" w14:textId="77777777" w:rsidR="00984C49" w:rsidRPr="00C82993" w:rsidRDefault="00984C49">
            <w:pPr>
              <w:jc w:val="both"/>
              <w:rPr>
                <w:rFonts w:ascii="Verdana" w:hAnsi="Verdana" w:cs="Verdana"/>
                <w:iCs/>
                <w:color w:val="FF0000"/>
                <w:sz w:val="22"/>
                <w:szCs w:val="22"/>
              </w:rPr>
            </w:pPr>
          </w:p>
          <w:p w14:paraId="3E17A2E8" w14:textId="77777777" w:rsidR="00984C49" w:rsidRPr="00C82993" w:rsidRDefault="00984C49">
            <w:pPr>
              <w:jc w:val="both"/>
              <w:rPr>
                <w:rFonts w:ascii="Verdana" w:hAnsi="Verdana"/>
                <w:sz w:val="22"/>
                <w:szCs w:val="22"/>
              </w:rPr>
            </w:pPr>
            <w:r w:rsidRPr="00C82993">
              <w:rPr>
                <w:rFonts w:ascii="Verdana" w:hAnsi="Verdana" w:cs="Verdana"/>
                <w:iCs/>
                <w:color w:val="FF0000"/>
                <w:sz w:val="22"/>
                <w:szCs w:val="22"/>
              </w:rPr>
              <w:tab/>
              <w:t>2º.- Que la vivienda se encuentre hipotecada y que la hipoteca garantice una deuda del concursado.</w:t>
            </w:r>
          </w:p>
          <w:p w14:paraId="2BD17127" w14:textId="77777777" w:rsidR="00984C49" w:rsidRPr="00C82993" w:rsidRDefault="00984C49">
            <w:pPr>
              <w:jc w:val="both"/>
              <w:rPr>
                <w:rFonts w:ascii="Verdana" w:hAnsi="Verdana" w:cs="Verdana"/>
                <w:iCs/>
                <w:color w:val="FF0000"/>
                <w:sz w:val="22"/>
                <w:szCs w:val="22"/>
              </w:rPr>
            </w:pPr>
          </w:p>
          <w:p w14:paraId="1CEEBAF7" w14:textId="77777777" w:rsidR="00984C49" w:rsidRPr="00C82993" w:rsidRDefault="00984C49">
            <w:pPr>
              <w:jc w:val="both"/>
              <w:rPr>
                <w:rFonts w:ascii="Verdana" w:hAnsi="Verdana"/>
                <w:sz w:val="22"/>
                <w:szCs w:val="22"/>
              </w:rPr>
            </w:pPr>
            <w:r w:rsidRPr="00C82993">
              <w:rPr>
                <w:rFonts w:ascii="Verdana" w:hAnsi="Verdana" w:cs="Verdana"/>
                <w:iCs/>
                <w:color w:val="FF0000"/>
                <w:sz w:val="22"/>
                <w:szCs w:val="22"/>
              </w:rPr>
              <w:tab/>
              <w:t>3º.- Que su valor previsible de liquidación no alcance a cubrir la deuda garantizada por la hipoteca que reste por abonar.</w:t>
            </w:r>
          </w:p>
          <w:p w14:paraId="0D874863" w14:textId="77777777" w:rsidR="00984C49" w:rsidRPr="00C82993" w:rsidRDefault="00984C49">
            <w:pPr>
              <w:jc w:val="both"/>
              <w:rPr>
                <w:rFonts w:ascii="Verdana" w:hAnsi="Verdana" w:cs="Verdana"/>
                <w:iCs/>
                <w:color w:val="FF0000"/>
                <w:sz w:val="22"/>
                <w:szCs w:val="22"/>
              </w:rPr>
            </w:pPr>
          </w:p>
          <w:p w14:paraId="19F0A95A" w14:textId="77777777" w:rsidR="00984C49" w:rsidRPr="00C82993" w:rsidRDefault="00984C49">
            <w:pPr>
              <w:jc w:val="both"/>
              <w:rPr>
                <w:rFonts w:ascii="Verdana" w:hAnsi="Verdana"/>
                <w:sz w:val="22"/>
                <w:szCs w:val="22"/>
              </w:rPr>
            </w:pPr>
            <w:r w:rsidRPr="00C82993">
              <w:rPr>
                <w:rFonts w:ascii="Verdana" w:hAnsi="Verdana" w:cs="Verdana"/>
                <w:iCs/>
                <w:color w:val="FF0000"/>
                <w:sz w:val="22"/>
                <w:szCs w:val="22"/>
              </w:rPr>
              <w:tab/>
              <w:t>4º.- Que el préstamo hipotecario se encuentre al corriente de pago o que, en caso contrario, consienta el acreedor privilegiado.</w:t>
            </w:r>
          </w:p>
          <w:p w14:paraId="409D9BB1" w14:textId="77777777" w:rsidR="00984C49" w:rsidRPr="00C82993" w:rsidRDefault="00984C49">
            <w:pPr>
              <w:jc w:val="both"/>
              <w:rPr>
                <w:rFonts w:ascii="Verdana" w:hAnsi="Verdana" w:cs="Verdana"/>
                <w:iCs/>
                <w:color w:val="FF0000"/>
                <w:sz w:val="22"/>
                <w:szCs w:val="22"/>
              </w:rPr>
            </w:pPr>
          </w:p>
          <w:p w14:paraId="796A9F67" w14:textId="77777777" w:rsidR="00984C49" w:rsidRPr="00C82993" w:rsidRDefault="00984C49">
            <w:pPr>
              <w:jc w:val="both"/>
              <w:rPr>
                <w:rFonts w:ascii="Verdana" w:hAnsi="Verdana"/>
                <w:sz w:val="22"/>
                <w:szCs w:val="22"/>
              </w:rPr>
            </w:pPr>
            <w:r w:rsidRPr="00C82993">
              <w:rPr>
                <w:rFonts w:ascii="Verdana" w:hAnsi="Verdana" w:cs="Verdana"/>
                <w:iCs/>
                <w:color w:val="FF0000"/>
                <w:sz w:val="22"/>
                <w:szCs w:val="22"/>
              </w:rPr>
              <w:tab/>
              <w:t>5º.- Que estén al corriente de pago tanto el Impuesto de Bienes Inmuebles como las cuotas de la comunidad de propietarios.</w:t>
            </w:r>
          </w:p>
          <w:p w14:paraId="0A7224E9" w14:textId="77777777" w:rsidR="00984C49" w:rsidRPr="00C82993" w:rsidRDefault="00984C49">
            <w:pPr>
              <w:jc w:val="both"/>
              <w:rPr>
                <w:rFonts w:ascii="Verdana" w:hAnsi="Verdana" w:cs="Verdana"/>
                <w:iCs/>
                <w:color w:val="FF0000"/>
                <w:sz w:val="22"/>
                <w:szCs w:val="22"/>
              </w:rPr>
            </w:pPr>
          </w:p>
          <w:p w14:paraId="57FEC719" w14:textId="77777777" w:rsidR="00984C49" w:rsidRPr="00C82993" w:rsidRDefault="00984C49">
            <w:pPr>
              <w:jc w:val="both"/>
              <w:rPr>
                <w:rFonts w:ascii="Verdana" w:hAnsi="Verdana"/>
                <w:sz w:val="22"/>
                <w:szCs w:val="22"/>
              </w:rPr>
            </w:pPr>
            <w:r w:rsidRPr="00C82993">
              <w:rPr>
                <w:rFonts w:ascii="Verdana" w:hAnsi="Verdana" w:cs="Verdana"/>
                <w:iCs/>
                <w:color w:val="FF0000"/>
                <w:sz w:val="22"/>
                <w:szCs w:val="22"/>
              </w:rPr>
              <w:tab/>
              <w:t>6º.- Que el importe mensual de la cuota hipotecaria no resulta excesivo en comparación con lo que supondría el alquiler de una vivienda de características adecuadas a las necesidades del deudor y su familia.</w:t>
            </w:r>
          </w:p>
          <w:p w14:paraId="6428FCB8" w14:textId="77777777" w:rsidR="00984C49" w:rsidRPr="00C82993" w:rsidRDefault="00984C49">
            <w:pPr>
              <w:jc w:val="both"/>
              <w:rPr>
                <w:rFonts w:ascii="Verdana" w:hAnsi="Verdana" w:cs="Verdana"/>
                <w:iCs/>
                <w:color w:val="FF0000"/>
                <w:sz w:val="22"/>
                <w:szCs w:val="22"/>
              </w:rPr>
            </w:pPr>
          </w:p>
          <w:p w14:paraId="13741B9A" w14:textId="77777777" w:rsidR="00984C49" w:rsidRPr="00C82993" w:rsidRDefault="00984C49">
            <w:pPr>
              <w:jc w:val="both"/>
              <w:rPr>
                <w:rFonts w:ascii="Verdana" w:hAnsi="Verdana"/>
                <w:sz w:val="22"/>
                <w:szCs w:val="22"/>
              </w:rPr>
            </w:pPr>
            <w:r w:rsidRPr="00C82993">
              <w:rPr>
                <w:rFonts w:ascii="Verdana" w:hAnsi="Verdana" w:cs="Verdana"/>
                <w:iCs/>
                <w:color w:val="FF0000"/>
                <w:sz w:val="22"/>
                <w:szCs w:val="22"/>
              </w:rPr>
              <w:tab/>
              <w:t xml:space="preserve">2. La </w:t>
            </w:r>
            <w:r w:rsidRPr="00C82993">
              <w:rPr>
                <w:rFonts w:ascii="Verdana" w:hAnsi="Verdana" w:cs="Verdana"/>
                <w:iCs/>
                <w:color w:val="FF0000"/>
                <w:spacing w:val="20"/>
                <w:sz w:val="22"/>
                <w:szCs w:val="22"/>
                <w:lang w:eastAsia="zh-CN"/>
              </w:rPr>
              <w:t>administración concursal</w:t>
            </w:r>
            <w:r w:rsidRPr="00C82993">
              <w:rPr>
                <w:rFonts w:ascii="Verdana" w:hAnsi="Verdana" w:cs="Verdana"/>
                <w:iCs/>
                <w:color w:val="FF0000"/>
                <w:sz w:val="22"/>
                <w:szCs w:val="22"/>
              </w:rPr>
              <w:t xml:space="preserve"> solicitará al juez del concurso, en cuanto verifique la concurrencia de los requisitos anteriores, que autorice la exclusión de la vivienda habitual de la liquidación, lo que se tramitará de conformidad con el artículo 188 de la Ley Concursal.</w:t>
            </w:r>
          </w:p>
          <w:p w14:paraId="6853A6FA" w14:textId="77777777" w:rsidR="00984C49" w:rsidRPr="00C82993" w:rsidRDefault="00984C49">
            <w:pPr>
              <w:jc w:val="both"/>
              <w:rPr>
                <w:rFonts w:ascii="Verdana" w:hAnsi="Verdana" w:cs="Verdana"/>
                <w:iCs/>
                <w:color w:val="FF0000"/>
                <w:sz w:val="22"/>
                <w:szCs w:val="22"/>
              </w:rPr>
            </w:pPr>
          </w:p>
          <w:p w14:paraId="6C39C253" w14:textId="77777777" w:rsidR="00984C49" w:rsidRPr="00C82993" w:rsidRDefault="00984C49">
            <w:pPr>
              <w:jc w:val="both"/>
              <w:rPr>
                <w:rFonts w:ascii="Verdana" w:hAnsi="Verdana"/>
                <w:sz w:val="22"/>
                <w:szCs w:val="22"/>
              </w:rPr>
            </w:pPr>
            <w:r w:rsidRPr="00C82993">
              <w:rPr>
                <w:rFonts w:ascii="Verdana" w:hAnsi="Verdana" w:cs="Verdana"/>
                <w:iCs/>
                <w:color w:val="FF0000"/>
                <w:sz w:val="22"/>
                <w:szCs w:val="22"/>
              </w:rPr>
              <w:tab/>
              <w:t>En el auto que autorice la exclusión se acordará levantar los embargos que pesen sobre el inmueble.”</w:t>
            </w:r>
          </w:p>
          <w:p w14:paraId="7EE0CD81" w14:textId="77777777" w:rsidR="00984C49" w:rsidRPr="00C82993" w:rsidRDefault="00984C49">
            <w:pPr>
              <w:rPr>
                <w:rFonts w:ascii="Verdana" w:hAnsi="Verdana" w:cs="Verdana"/>
                <w:sz w:val="22"/>
                <w:szCs w:val="22"/>
              </w:rPr>
            </w:pPr>
          </w:p>
        </w:tc>
      </w:tr>
      <w:tr w:rsidR="00984C49" w:rsidRPr="00C82993" w14:paraId="47322FB1" w14:textId="77777777" w:rsidTr="006D5853">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14:paraId="4A773D3C" w14:textId="77777777" w:rsidR="00984C49" w:rsidRPr="00C82993" w:rsidRDefault="00984C49" w:rsidP="00C82993">
            <w:pPr>
              <w:snapToGrid w:val="0"/>
              <w:jc w:val="both"/>
              <w:rPr>
                <w:rFonts w:ascii="Verdana" w:hAnsi="Verdana" w:cs="Verdana"/>
                <w:sz w:val="22"/>
                <w:szCs w:val="22"/>
              </w:rPr>
            </w:pPr>
          </w:p>
          <w:p w14:paraId="5B74FCF7" w14:textId="77777777" w:rsidR="00984C49" w:rsidRPr="00C82993" w:rsidRDefault="00984C49" w:rsidP="00C82993">
            <w:pPr>
              <w:jc w:val="both"/>
              <w:rPr>
                <w:rFonts w:ascii="Verdana" w:hAnsi="Verdana"/>
                <w:sz w:val="22"/>
                <w:szCs w:val="22"/>
              </w:rPr>
            </w:pPr>
            <w:r w:rsidRPr="00C82993">
              <w:rPr>
                <w:rFonts w:ascii="Verdana" w:hAnsi="Verdana" w:cs="Verdana"/>
                <w:sz w:val="22"/>
                <w:szCs w:val="22"/>
              </w:rPr>
              <w:t xml:space="preserve">ANÁLISIS DE IMPACTO SOBRE LA SITUACIÓN EXISTENTE: </w:t>
            </w:r>
          </w:p>
          <w:p w14:paraId="3219653A" w14:textId="77777777" w:rsidR="00984C49" w:rsidRPr="00C82993" w:rsidRDefault="00984C49" w:rsidP="00C82993">
            <w:pPr>
              <w:jc w:val="both"/>
              <w:rPr>
                <w:rFonts w:ascii="Verdana" w:hAnsi="Verdana" w:cs="Verdana"/>
                <w:sz w:val="22"/>
                <w:szCs w:val="22"/>
              </w:rPr>
            </w:pPr>
          </w:p>
          <w:p w14:paraId="134D1F37" w14:textId="77777777" w:rsidR="00984C49" w:rsidRPr="00C82993" w:rsidRDefault="00984C49" w:rsidP="00C82993">
            <w:pPr>
              <w:jc w:val="both"/>
              <w:rPr>
                <w:rFonts w:ascii="Verdana" w:hAnsi="Verdana"/>
                <w:sz w:val="22"/>
                <w:szCs w:val="22"/>
              </w:rPr>
            </w:pPr>
            <w:r w:rsidRPr="00C82993">
              <w:rPr>
                <w:rFonts w:ascii="Verdana" w:hAnsi="Verdana" w:cs="Verdana"/>
                <w:sz w:val="22"/>
                <w:szCs w:val="22"/>
              </w:rPr>
              <w:t xml:space="preserve">Durante el estado de alarma, ninguna. </w:t>
            </w:r>
          </w:p>
          <w:p w14:paraId="10B33CDA" w14:textId="77777777" w:rsidR="00984C49" w:rsidRPr="00C82993" w:rsidRDefault="00984C49" w:rsidP="00C82993">
            <w:pPr>
              <w:jc w:val="both"/>
              <w:rPr>
                <w:rFonts w:ascii="Verdana" w:hAnsi="Verdana" w:cs="Verdana"/>
                <w:sz w:val="22"/>
                <w:szCs w:val="22"/>
              </w:rPr>
            </w:pPr>
          </w:p>
        </w:tc>
      </w:tr>
      <w:tr w:rsidR="00984C49" w:rsidRPr="00C82993" w14:paraId="542F3D77" w14:textId="77777777" w:rsidTr="006D5853">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14:paraId="6B5C717D" w14:textId="77777777" w:rsidR="00984C49" w:rsidRPr="00C82993" w:rsidRDefault="00984C49" w:rsidP="00C82993">
            <w:pPr>
              <w:snapToGrid w:val="0"/>
              <w:jc w:val="both"/>
              <w:rPr>
                <w:rFonts w:ascii="Verdana" w:hAnsi="Verdana" w:cs="Verdana"/>
                <w:sz w:val="22"/>
                <w:szCs w:val="22"/>
              </w:rPr>
            </w:pPr>
          </w:p>
          <w:p w14:paraId="547AC098" w14:textId="77777777" w:rsidR="00984C49" w:rsidRPr="00C82993" w:rsidRDefault="00984C49" w:rsidP="00C82993">
            <w:pPr>
              <w:jc w:val="both"/>
              <w:rPr>
                <w:rFonts w:ascii="Verdana" w:hAnsi="Verdana"/>
                <w:sz w:val="22"/>
                <w:szCs w:val="22"/>
              </w:rPr>
            </w:pPr>
            <w:r w:rsidRPr="00C82993">
              <w:rPr>
                <w:rFonts w:ascii="Verdana" w:hAnsi="Verdana" w:cs="Verdana"/>
                <w:sz w:val="22"/>
                <w:szCs w:val="22"/>
              </w:rPr>
              <w:t xml:space="preserve">ANÁLISIS DE IMPACTO PREVISIBLE SOBRE LA SITUACIÓN FUTURA: </w:t>
            </w:r>
          </w:p>
          <w:p w14:paraId="043B6E8D" w14:textId="77777777" w:rsidR="00984C49" w:rsidRPr="00C82993" w:rsidRDefault="00984C49" w:rsidP="00C82993">
            <w:pPr>
              <w:jc w:val="both"/>
              <w:rPr>
                <w:rFonts w:ascii="Verdana" w:hAnsi="Verdana" w:cs="Verdana"/>
                <w:sz w:val="22"/>
                <w:szCs w:val="22"/>
              </w:rPr>
            </w:pPr>
          </w:p>
          <w:p w14:paraId="770CB6D7" w14:textId="77777777" w:rsidR="00984C49" w:rsidRPr="00C82993" w:rsidRDefault="00984C49" w:rsidP="00C82993">
            <w:pPr>
              <w:jc w:val="both"/>
              <w:rPr>
                <w:rFonts w:ascii="Verdana" w:hAnsi="Verdana"/>
                <w:sz w:val="22"/>
                <w:szCs w:val="22"/>
              </w:rPr>
            </w:pPr>
            <w:r w:rsidRPr="00C82993">
              <w:rPr>
                <w:rFonts w:ascii="Verdana" w:hAnsi="Verdana" w:cs="Verdana"/>
                <w:sz w:val="22"/>
                <w:szCs w:val="22"/>
              </w:rPr>
              <w:t xml:space="preserve">Enorme, pues evitará que muchas personas se vean obligados a perder sus viviendas habituales. </w:t>
            </w:r>
          </w:p>
          <w:p w14:paraId="3DCF48F9" w14:textId="77777777" w:rsidR="00984C49" w:rsidRPr="00C82993" w:rsidRDefault="00984C49" w:rsidP="00C82993">
            <w:pPr>
              <w:jc w:val="both"/>
              <w:rPr>
                <w:rFonts w:ascii="Verdana" w:hAnsi="Verdana" w:cs="Verdana"/>
                <w:sz w:val="22"/>
                <w:szCs w:val="22"/>
              </w:rPr>
            </w:pPr>
          </w:p>
        </w:tc>
      </w:tr>
      <w:tr w:rsidR="00984C49" w:rsidRPr="00C82993" w14:paraId="41E9322A" w14:textId="77777777" w:rsidTr="006D5853">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14:paraId="3355E33C" w14:textId="77777777" w:rsidR="00984C49" w:rsidRPr="00C82993" w:rsidRDefault="00984C49">
            <w:pPr>
              <w:snapToGrid w:val="0"/>
              <w:rPr>
                <w:rFonts w:ascii="Verdana" w:hAnsi="Verdana" w:cs="Verdana"/>
                <w:sz w:val="22"/>
                <w:szCs w:val="22"/>
              </w:rPr>
            </w:pPr>
          </w:p>
          <w:p w14:paraId="00FB48F2" w14:textId="77777777" w:rsidR="00984C49" w:rsidRPr="00C82993" w:rsidRDefault="00984C49">
            <w:pPr>
              <w:rPr>
                <w:rFonts w:ascii="Verdana" w:hAnsi="Verdana"/>
                <w:sz w:val="22"/>
                <w:szCs w:val="22"/>
              </w:rPr>
            </w:pPr>
            <w:r w:rsidRPr="00C82993">
              <w:rPr>
                <w:rFonts w:ascii="Verdana" w:hAnsi="Verdana" w:cs="Verdana"/>
                <w:sz w:val="22"/>
                <w:szCs w:val="22"/>
              </w:rPr>
              <w:t>DURACIÓN DE LA MEDIDA: Permanente</w:t>
            </w:r>
          </w:p>
          <w:p w14:paraId="432A1EB7" w14:textId="77777777" w:rsidR="00984C49" w:rsidRPr="00C82993" w:rsidRDefault="00984C49">
            <w:pPr>
              <w:rPr>
                <w:rFonts w:ascii="Verdana" w:hAnsi="Verdana" w:cs="Verdana"/>
                <w:sz w:val="22"/>
                <w:szCs w:val="22"/>
              </w:rPr>
            </w:pPr>
          </w:p>
        </w:tc>
      </w:tr>
      <w:tr w:rsidR="00984C49" w:rsidRPr="00C82993" w14:paraId="15CB6615" w14:textId="77777777" w:rsidTr="006D5853">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14:paraId="2A3658D7" w14:textId="77777777" w:rsidR="00984C49" w:rsidRPr="00C82993" w:rsidRDefault="00984C49">
            <w:pPr>
              <w:snapToGrid w:val="0"/>
              <w:rPr>
                <w:rFonts w:ascii="Verdana" w:hAnsi="Verdana" w:cs="Verdana"/>
                <w:sz w:val="22"/>
                <w:szCs w:val="22"/>
              </w:rPr>
            </w:pPr>
          </w:p>
          <w:p w14:paraId="01FAF2F2" w14:textId="77777777" w:rsidR="00984C49" w:rsidRDefault="00984C49">
            <w:pPr>
              <w:rPr>
                <w:rFonts w:ascii="Verdana" w:hAnsi="Verdana" w:cs="Verdana"/>
                <w:sz w:val="22"/>
                <w:szCs w:val="22"/>
              </w:rPr>
            </w:pPr>
            <w:r w:rsidRPr="00C82993">
              <w:rPr>
                <w:rFonts w:ascii="Verdana" w:hAnsi="Verdana" w:cs="Verdana"/>
                <w:sz w:val="22"/>
                <w:szCs w:val="22"/>
              </w:rPr>
              <w:t xml:space="preserve">NIVEL DE PRIORIDAD/URGENCIA: Muy </w:t>
            </w:r>
            <w:r w:rsidR="00C82993">
              <w:rPr>
                <w:rFonts w:ascii="Verdana" w:hAnsi="Verdana" w:cs="Verdana"/>
                <w:sz w:val="22"/>
                <w:szCs w:val="22"/>
              </w:rPr>
              <w:t>alta</w:t>
            </w:r>
          </w:p>
          <w:p w14:paraId="1346E24B" w14:textId="77777777" w:rsidR="00C82993" w:rsidRPr="00C82993" w:rsidRDefault="00C82993">
            <w:pPr>
              <w:rPr>
                <w:rFonts w:ascii="Verdana" w:hAnsi="Verdana"/>
                <w:sz w:val="22"/>
                <w:szCs w:val="22"/>
              </w:rPr>
            </w:pPr>
          </w:p>
          <w:p w14:paraId="21640974" w14:textId="77777777" w:rsidR="00984C49" w:rsidRPr="00C82993" w:rsidRDefault="00984C49">
            <w:pPr>
              <w:rPr>
                <w:rFonts w:ascii="Verdana" w:hAnsi="Verdana" w:cs="Verdana"/>
                <w:iCs/>
                <w:color w:val="FF0000"/>
                <w:sz w:val="22"/>
                <w:szCs w:val="22"/>
              </w:rPr>
            </w:pPr>
          </w:p>
        </w:tc>
      </w:tr>
    </w:tbl>
    <w:p w14:paraId="3717FD49" w14:textId="77777777" w:rsidR="00984C49" w:rsidRDefault="00984C49">
      <w:pPr>
        <w:rPr>
          <w:rFonts w:ascii="Verdana" w:hAnsi="Verdana" w:cs="Verdana"/>
          <w:sz w:val="24"/>
          <w:szCs w:val="24"/>
        </w:rPr>
      </w:pPr>
    </w:p>
    <w:sectPr w:rsidR="00984C49">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CA"/>
    <w:rsid w:val="000E101C"/>
    <w:rsid w:val="001F4FCA"/>
    <w:rsid w:val="004D52F2"/>
    <w:rsid w:val="006D5853"/>
    <w:rsid w:val="00834E36"/>
    <w:rsid w:val="00840B29"/>
    <w:rsid w:val="00984C49"/>
    <w:rsid w:val="00C82993"/>
    <w:rsid w:val="00F475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2C75FB6"/>
  <w14:defaultImageDpi w14:val="300"/>
  <w15:chartTrackingRefBased/>
  <w15:docId w15:val="{A4E11579-3E7C-47C6-9A72-F6A95F13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ListLabel4">
    <w:name w:val="ListLabel 4"/>
    <w:rPr>
      <w:rFonts w:ascii="Verdana" w:hAnsi="Verdana" w:cs="Symbol"/>
    </w:rPr>
  </w:style>
  <w:style w:type="character" w:styleId="Textoennegrita">
    <w:name w:val="Strong"/>
    <w:qFormat/>
    <w:rPr>
      <w:b/>
      <w:bCs/>
    </w:rPr>
  </w:style>
  <w:style w:type="paragraph" w:customStyle="1" w:styleId="Ttulo1">
    <w:name w:val="Título1"/>
    <w:basedOn w:val="Normal"/>
    <w:next w:val="Textoindependiente"/>
    <w:pPr>
      <w:keepNext/>
      <w:spacing w:before="240" w:after="120"/>
    </w:pPr>
  </w:style>
  <w:style w:type="paragraph" w:styleId="Textoindependiente">
    <w:name w:val="Body Text"/>
    <w:basedOn w:val="Normal"/>
    <w:pPr>
      <w:spacing w:after="140" w:line="276" w:lineRule="auto"/>
    </w:pPr>
  </w:style>
  <w:style w:type="paragraph" w:styleId="Lista">
    <w:name w:val="List"/>
    <w:basedOn w:val="Textoindependiente"/>
  </w:style>
  <w:style w:type="paragraph" w:styleId="Epgrafe">
    <w:name w:val="Epígrafe"/>
    <w:basedOn w:val="Normal"/>
    <w:qFormat/>
    <w:pPr>
      <w:suppressLineNumbers/>
      <w:spacing w:before="120" w:after="120"/>
    </w:pPr>
  </w:style>
  <w:style w:type="paragraph" w:customStyle="1" w:styleId="ndice">
    <w:name w:val="Índice"/>
    <w:basedOn w:val="Normal"/>
    <w:pPr>
      <w:suppressLineNumbers/>
    </w:pPr>
  </w:style>
  <w:style w:type="paragraph" w:customStyle="1" w:styleId="ListParagraph">
    <w:name w:val="List Paragraph"/>
    <w:basedOn w:val="Normal"/>
    <w:pPr>
      <w:spacing w:after="160" w:line="256" w:lineRule="auto"/>
      <w:ind w:left="720"/>
      <w:contextualSpacing/>
    </w:p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4679</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Sancho Gargallo</dc:creator>
  <cp:keywords/>
  <cp:lastModifiedBy>Belén</cp:lastModifiedBy>
  <cp:revision>2</cp:revision>
  <cp:lastPrinted>1601-01-01T00:00:00Z</cp:lastPrinted>
  <dcterms:created xsi:type="dcterms:W3CDTF">2020-04-21T10:19:00Z</dcterms:created>
  <dcterms:modified xsi:type="dcterms:W3CDTF">2020-04-21T10:19:00Z</dcterms:modified>
</cp:coreProperties>
</file>